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83" w:rsidRPr="00A17A4C" w:rsidRDefault="003E1283" w:rsidP="003E1283">
      <w:pPr>
        <w:ind w:left="7230"/>
      </w:pPr>
      <w:r w:rsidRPr="00A17A4C">
        <w:t>До реєстр. № 3384</w:t>
      </w:r>
    </w:p>
    <w:p w:rsidR="003E1283" w:rsidRPr="00A17A4C" w:rsidRDefault="003E1283" w:rsidP="003E1283">
      <w:pPr>
        <w:ind w:left="7230"/>
      </w:pPr>
      <w:r w:rsidRPr="00A17A4C">
        <w:t>від 23.04.2020</w:t>
      </w:r>
    </w:p>
    <w:p w:rsidR="005B6DD9" w:rsidRPr="00A17A4C" w:rsidRDefault="005B6DD9" w:rsidP="005B6DD9">
      <w:pPr>
        <w:ind w:left="5040"/>
      </w:pPr>
    </w:p>
    <w:p w:rsidR="003E1283" w:rsidRPr="00A17A4C" w:rsidRDefault="003E1283" w:rsidP="005B6DD9">
      <w:pPr>
        <w:ind w:left="5040"/>
      </w:pPr>
    </w:p>
    <w:p w:rsidR="003E1283" w:rsidRPr="00A17A4C" w:rsidRDefault="003E1283" w:rsidP="005B6DD9">
      <w:pPr>
        <w:ind w:left="5040"/>
      </w:pPr>
    </w:p>
    <w:p w:rsidR="003E1283" w:rsidRPr="00A17A4C" w:rsidRDefault="003E1283" w:rsidP="005B6DD9">
      <w:pPr>
        <w:ind w:left="5040"/>
      </w:pPr>
    </w:p>
    <w:p w:rsidR="003E1283" w:rsidRPr="00A17A4C" w:rsidRDefault="003E1283" w:rsidP="005B6DD9">
      <w:pPr>
        <w:ind w:left="5040"/>
      </w:pPr>
    </w:p>
    <w:p w:rsidR="003E1283" w:rsidRPr="00A17A4C" w:rsidRDefault="003E1283" w:rsidP="005B6DD9">
      <w:pPr>
        <w:ind w:left="5040"/>
      </w:pPr>
    </w:p>
    <w:p w:rsidR="003E1283" w:rsidRPr="00A17A4C" w:rsidRDefault="003E1283" w:rsidP="005B6DD9">
      <w:pPr>
        <w:ind w:left="5040"/>
      </w:pPr>
    </w:p>
    <w:p w:rsidR="003E1283" w:rsidRPr="00A17A4C" w:rsidRDefault="003E1283" w:rsidP="005B6DD9">
      <w:pPr>
        <w:ind w:left="5040"/>
      </w:pPr>
    </w:p>
    <w:p w:rsidR="003E1283" w:rsidRPr="00A17A4C" w:rsidRDefault="003E1283" w:rsidP="005B6DD9">
      <w:pPr>
        <w:ind w:left="5040"/>
      </w:pPr>
    </w:p>
    <w:p w:rsidR="001B2C14" w:rsidRPr="00A17A4C" w:rsidRDefault="001B2C14" w:rsidP="001B2C14">
      <w:pPr>
        <w:ind w:left="5040"/>
        <w:rPr>
          <w:b/>
        </w:rPr>
      </w:pPr>
      <w:r w:rsidRPr="00A17A4C">
        <w:rPr>
          <w:b/>
        </w:rPr>
        <w:t xml:space="preserve">       ВЕРХОВНА РАДА УКРАЇНИ</w:t>
      </w:r>
    </w:p>
    <w:p w:rsidR="003E1283" w:rsidRDefault="003E1283" w:rsidP="005B6DD9">
      <w:pPr>
        <w:ind w:left="5040"/>
      </w:pPr>
    </w:p>
    <w:p w:rsidR="001B2C14" w:rsidRPr="00A17A4C" w:rsidRDefault="001B2C14" w:rsidP="005B6DD9">
      <w:pPr>
        <w:ind w:left="5040"/>
      </w:pPr>
    </w:p>
    <w:p w:rsidR="005B6DD9" w:rsidRPr="00A17A4C" w:rsidRDefault="005B6DD9" w:rsidP="005B6DD9">
      <w:pPr>
        <w:jc w:val="center"/>
        <w:rPr>
          <w:b/>
        </w:rPr>
      </w:pPr>
      <w:r w:rsidRPr="00A17A4C">
        <w:rPr>
          <w:b/>
        </w:rPr>
        <w:t>ВИСНОВОК</w:t>
      </w:r>
    </w:p>
    <w:p w:rsidR="005B6DD9" w:rsidRPr="00A17A4C" w:rsidRDefault="003E1283" w:rsidP="00090211">
      <w:pPr>
        <w:pStyle w:val="3"/>
        <w:spacing w:before="120" w:beforeAutospacing="0" w:after="120" w:afterAutospacing="0"/>
        <w:jc w:val="center"/>
        <w:rPr>
          <w:sz w:val="28"/>
          <w:szCs w:val="28"/>
          <w:lang w:val="uk-UA"/>
        </w:rPr>
      </w:pPr>
      <w:r w:rsidRPr="00A17A4C">
        <w:rPr>
          <w:sz w:val="28"/>
          <w:szCs w:val="28"/>
          <w:lang w:val="uk-UA"/>
        </w:rPr>
        <w:t>н</w:t>
      </w:r>
      <w:r w:rsidR="005B6DD9" w:rsidRPr="00A17A4C">
        <w:rPr>
          <w:sz w:val="28"/>
          <w:szCs w:val="28"/>
          <w:lang w:val="uk-UA"/>
        </w:rPr>
        <w:t>а проект Постанови Верховної Ради України «П</w:t>
      </w:r>
      <w:r w:rsidR="005B6DD9" w:rsidRPr="00A17A4C">
        <w:rPr>
          <w:sz w:val="28"/>
          <w:szCs w:val="28"/>
          <w:lang w:val="uk-UA" w:eastAsia="uk-UA"/>
        </w:rPr>
        <w:t xml:space="preserve">ро Звіт </w:t>
      </w:r>
      <w:r w:rsidRPr="00A17A4C">
        <w:rPr>
          <w:sz w:val="28"/>
          <w:szCs w:val="28"/>
          <w:lang w:val="uk-UA" w:eastAsia="uk-UA"/>
        </w:rPr>
        <w:t xml:space="preserve">Тимчасової слідчої комісії Верховної Ради України з питань розслідування пожежі (вибухів) на складах боєприпасів в м.Ічня (Чернігівська обл.), м.Калинівка (Вінницька обл.), м.Балаклія (Харківська обл.), м.Сватове (Луганська обл.), м.Кривий Ріг (Дніпропетровська обл.) у період з 2014 по 2018 роки </w:t>
      </w:r>
      <w:r w:rsidR="005B6DD9" w:rsidRPr="00A17A4C">
        <w:rPr>
          <w:sz w:val="28"/>
          <w:szCs w:val="28"/>
          <w:lang w:val="uk-UA" w:eastAsia="uk-UA"/>
        </w:rPr>
        <w:t>(далі - Тимчасова слідча комісія)</w:t>
      </w:r>
      <w:r w:rsidR="005B6DD9" w:rsidRPr="00A17A4C">
        <w:rPr>
          <w:sz w:val="28"/>
          <w:szCs w:val="28"/>
          <w:lang w:val="uk-UA"/>
        </w:rPr>
        <w:t>», внесений народним депутатом України Арахамією Д.Г. (реєстр. № 3384 від 23.04.2020)</w:t>
      </w:r>
    </w:p>
    <w:p w:rsidR="005B6DD9" w:rsidRPr="00A17A4C" w:rsidRDefault="003E1283" w:rsidP="005B6DD9">
      <w:pPr>
        <w:pStyle w:val="3"/>
        <w:spacing w:before="0" w:beforeAutospacing="0" w:after="0" w:afterAutospacing="0"/>
        <w:ind w:firstLine="709"/>
        <w:jc w:val="both"/>
        <w:rPr>
          <w:b w:val="0"/>
          <w:sz w:val="28"/>
          <w:szCs w:val="28"/>
          <w:lang w:val="uk-UA"/>
        </w:rPr>
      </w:pPr>
      <w:r w:rsidRPr="00A17A4C">
        <w:rPr>
          <w:b w:val="0"/>
          <w:bCs w:val="0"/>
          <w:sz w:val="28"/>
          <w:szCs w:val="28"/>
          <w:lang w:val="uk-UA" w:eastAsia="uk-UA"/>
        </w:rPr>
        <w:t>Комітет</w:t>
      </w:r>
      <w:r w:rsidR="005025A3" w:rsidRPr="00A17A4C">
        <w:rPr>
          <w:b w:val="0"/>
          <w:bCs w:val="0"/>
          <w:sz w:val="28"/>
          <w:szCs w:val="28"/>
          <w:lang w:val="uk-UA" w:eastAsia="uk-UA"/>
        </w:rPr>
        <w:t>ом</w:t>
      </w:r>
      <w:r w:rsidRPr="00A17A4C">
        <w:rPr>
          <w:b w:val="0"/>
          <w:bCs w:val="0"/>
          <w:sz w:val="28"/>
          <w:szCs w:val="28"/>
          <w:lang w:val="uk-UA" w:eastAsia="uk-UA"/>
        </w:rPr>
        <w:t xml:space="preserve"> на засіданні 29 квітня 2020 року (протокол № 34),</w:t>
      </w:r>
      <w:r w:rsidRPr="00A17A4C">
        <w:rPr>
          <w:bCs w:val="0"/>
          <w:sz w:val="28"/>
          <w:szCs w:val="28"/>
          <w:lang w:val="uk-UA" w:eastAsia="uk-UA"/>
        </w:rPr>
        <w:t xml:space="preserve"> </w:t>
      </w:r>
      <w:r w:rsidRPr="00A17A4C">
        <w:rPr>
          <w:b w:val="0"/>
          <w:bCs w:val="0"/>
          <w:sz w:val="28"/>
          <w:szCs w:val="28"/>
          <w:lang w:val="uk-UA" w:eastAsia="uk-UA"/>
        </w:rPr>
        <w:t>з</w:t>
      </w:r>
      <w:r w:rsidRPr="00A17A4C">
        <w:rPr>
          <w:b w:val="0"/>
          <w:sz w:val="28"/>
          <w:szCs w:val="28"/>
          <w:lang w:val="uk-UA" w:eastAsia="uk-UA"/>
        </w:rPr>
        <w:t>а</w:t>
      </w:r>
      <w:r w:rsidRPr="00A17A4C">
        <w:rPr>
          <w:sz w:val="28"/>
          <w:szCs w:val="28"/>
          <w:lang w:val="uk-UA" w:eastAsia="uk-UA"/>
        </w:rPr>
        <w:t xml:space="preserve"> </w:t>
      </w:r>
      <w:r w:rsidR="005B6DD9" w:rsidRPr="00A17A4C">
        <w:rPr>
          <w:b w:val="0"/>
          <w:sz w:val="28"/>
          <w:szCs w:val="28"/>
          <w:lang w:val="uk-UA"/>
        </w:rPr>
        <w:t xml:space="preserve"> дорученням Голови Верховної Ради України Разумкова Д.О.</w:t>
      </w:r>
      <w:r w:rsidRPr="00A17A4C">
        <w:rPr>
          <w:b w:val="0"/>
          <w:sz w:val="28"/>
          <w:szCs w:val="28"/>
          <w:lang w:val="uk-UA"/>
        </w:rPr>
        <w:t xml:space="preserve"> </w:t>
      </w:r>
      <w:r w:rsidR="005B6DD9" w:rsidRPr="00A17A4C">
        <w:rPr>
          <w:b w:val="0"/>
          <w:sz w:val="28"/>
          <w:szCs w:val="28"/>
          <w:lang w:val="uk-UA"/>
        </w:rPr>
        <w:t xml:space="preserve">від 27 квітня </w:t>
      </w:r>
      <w:r w:rsidRPr="00A17A4C">
        <w:rPr>
          <w:b w:val="0"/>
          <w:sz w:val="28"/>
          <w:szCs w:val="28"/>
          <w:lang w:val="uk-UA"/>
        </w:rPr>
        <w:t xml:space="preserve">ц.р., </w:t>
      </w:r>
      <w:r w:rsidR="005B6DD9" w:rsidRPr="00A17A4C">
        <w:rPr>
          <w:b w:val="0"/>
          <w:sz w:val="28"/>
          <w:szCs w:val="28"/>
          <w:lang w:val="uk-UA"/>
        </w:rPr>
        <w:t>розглянуто на відповідність оформлення та реєстрації вимогам закону, Регламенту Верховної Ради України і прийнятим відповідно до них нормативно-правовим актам та по суті правового змісту проект Постанови Верховної Ради України «П</w:t>
      </w:r>
      <w:r w:rsidR="005B6DD9" w:rsidRPr="00A17A4C">
        <w:rPr>
          <w:b w:val="0"/>
          <w:sz w:val="28"/>
          <w:szCs w:val="28"/>
          <w:lang w:val="uk-UA" w:eastAsia="uk-UA"/>
        </w:rPr>
        <w:t>ро Звіт Тимчасової слідчої комісії Верховної Ради України з питань розслідування пожежі (вибухів) на складах боєприпасів в м.Ічня (Чернігівська обл.), м.Калинівка (Вінницька обл.), м.Балаклія (Харківська обл.), м.Сватове (Луганська обл.), м.Кривий Ріг (Дніпропетровська обл.) у період з 2014 по 2018 роки (далі - Тимчасова слідча комісія)</w:t>
      </w:r>
      <w:r w:rsidR="005B6DD9" w:rsidRPr="00A17A4C">
        <w:rPr>
          <w:b w:val="0"/>
          <w:sz w:val="28"/>
          <w:szCs w:val="28"/>
          <w:lang w:val="uk-UA"/>
        </w:rPr>
        <w:t xml:space="preserve">», внесений народним депутатом України </w:t>
      </w:r>
      <w:r w:rsidRPr="00A17A4C">
        <w:rPr>
          <w:b w:val="0"/>
          <w:sz w:val="28"/>
          <w:szCs w:val="28"/>
          <w:lang w:val="uk-UA"/>
        </w:rPr>
        <w:t xml:space="preserve">                    </w:t>
      </w:r>
      <w:r w:rsidR="005B6DD9" w:rsidRPr="00A17A4C">
        <w:rPr>
          <w:b w:val="0"/>
          <w:sz w:val="28"/>
          <w:szCs w:val="28"/>
          <w:lang w:val="uk-UA"/>
        </w:rPr>
        <w:t>Арахамією Д.Г. (реєстр. № 3384 від 23.04.2020).</w:t>
      </w:r>
    </w:p>
    <w:p w:rsidR="005B6DD9" w:rsidRPr="00A17A4C" w:rsidRDefault="005B6DD9" w:rsidP="005B6DD9">
      <w:pPr>
        <w:ind w:firstLine="709"/>
        <w:jc w:val="both"/>
      </w:pPr>
      <w:r w:rsidRPr="00A17A4C">
        <w:t xml:space="preserve">Поданим проектом Постанови Верховної Ради України пропонується, зокрема, за наслідками заслуховування та обговорення Звіту Тимчасової слідчої комісії Верховної Ради України для проведення розслідування </w:t>
      </w:r>
      <w:r w:rsidRPr="00A17A4C">
        <w:rPr>
          <w:bCs/>
          <w:lang w:eastAsia="ru-RU"/>
        </w:rPr>
        <w:t>пожежі (вибухів) на складах боєприпасів в м.Ічня (Чернігівська обл.), м.Калинівка (Вінницька обл.), м.Балаклія (Харківська обл.), м.Сватове (Луганська обл.), м.Кривий Ріг (Дніпропетровська обл.) у період з 2014 по 2018 роки</w:t>
      </w:r>
      <w:r w:rsidRPr="00A17A4C">
        <w:t xml:space="preserve">, утвореної відповідно до </w:t>
      </w:r>
      <w:hyperlink r:id="rId6" w:tgtFrame="_blank" w:history="1">
        <w:r w:rsidRPr="00A17A4C">
          <w:rPr>
            <w:rStyle w:val="a6"/>
            <w:rFonts w:eastAsia="Calibri"/>
            <w:color w:val="auto"/>
            <w:u w:val="none"/>
          </w:rPr>
          <w:t xml:space="preserve">Постанови Верховної Ради України від 31 жовтня 2019 року </w:t>
        </w:r>
        <w:r w:rsidRPr="00A17A4C">
          <w:t>№262-ІХ (далі – Тимчасова слідча комісія), взяти до відома Звіт тимчасової слідчої комісії</w:t>
        </w:r>
        <w:r w:rsidRPr="00A17A4C">
          <w:br/>
          <w:t xml:space="preserve">(пункт 1 проекту Постанови) та </w:t>
        </w:r>
      </w:hyperlink>
      <w:r w:rsidRPr="00A17A4C">
        <w:t xml:space="preserve">з метою подальшого розслідування відомостей щодо фактів </w:t>
      </w:r>
      <w:r w:rsidRPr="00A17A4C">
        <w:rPr>
          <w:bCs/>
          <w:lang w:eastAsia="ru-RU"/>
        </w:rPr>
        <w:t>пожежі (вибухів) на складах боєприпасів з 2014 по 2018 роки</w:t>
      </w:r>
      <w:r w:rsidRPr="00A17A4C">
        <w:t xml:space="preserve"> продовжити роботу Тимчасової слідчої комісії на  6 (шість) місяців відповідно до завдань, передбачених Постановою Верховної Ради України від 31 жовтня 2019 року №262-ІХ (пункт 2 проекту Постанови).</w:t>
      </w:r>
    </w:p>
    <w:p w:rsidR="005B6DD9" w:rsidRPr="00A17A4C" w:rsidRDefault="005B6DD9" w:rsidP="005B6DD9">
      <w:pPr>
        <w:ind w:firstLine="709"/>
        <w:jc w:val="both"/>
      </w:pPr>
      <w:r w:rsidRPr="00A17A4C">
        <w:lastRenderedPageBreak/>
        <w:t xml:space="preserve">Поряд з цим пунктами 3 – 6 проекту Постанови передбачається низка рекомендацій Кабінету Міністрів України, Міністерству оборони України, Генеральному штабу Збройних Сил України, Генеральній прокуратурі України, Службі безпеки України, Державному бюро розслідувань, Міністерству внутрішніх справ України, Міністерству юстиції України у частині реагування за фактами, наведеними у попередньому звіті Тимчасової слідчої комісії, а також Верховній Раді України – у частині вирішення питання щодо законодавчого забезпечення посилення гарантій незалежності судового експерта та належного забезпечення здійснення судово-експертної діяльності. </w:t>
      </w:r>
    </w:p>
    <w:p w:rsidR="005B6DD9" w:rsidRPr="00A17A4C" w:rsidRDefault="005B6DD9" w:rsidP="005B6DD9">
      <w:pPr>
        <w:ind w:firstLine="709"/>
        <w:jc w:val="both"/>
      </w:pPr>
      <w:r w:rsidRPr="00A17A4C">
        <w:t xml:space="preserve">Серед іншого, проектом Постанови пропонується визначити </w:t>
      </w:r>
      <w:r w:rsidR="003C4C9D" w:rsidRPr="00A17A4C">
        <w:t>граничний термін</w:t>
      </w:r>
      <w:r w:rsidRPr="00A17A4C">
        <w:t xml:space="preserve"> заслуховування Звіту Тимчасової слідчої комісії про виконану роботу </w:t>
      </w:r>
      <w:r w:rsidR="003C4C9D" w:rsidRPr="00A17A4C">
        <w:t>– до 29 жовтня 2020 року</w:t>
      </w:r>
      <w:r w:rsidRPr="00A17A4C">
        <w:t xml:space="preserve">. </w:t>
      </w:r>
    </w:p>
    <w:p w:rsidR="003C4C9D" w:rsidRPr="00A17A4C" w:rsidRDefault="003C4C9D" w:rsidP="003C4C9D">
      <w:pPr>
        <w:ind w:firstLine="540"/>
        <w:jc w:val="both"/>
      </w:pPr>
      <w:r w:rsidRPr="00A17A4C">
        <w:t xml:space="preserve">Такі пропозиції щодо продовження строку діяльності Тимчасової слідчої комісії автор проекту Постанови обґрунтовує тим, що «з огляду на великий обсяг інформації, що надійшов до Тимчасової слідчої комісії для проведення розслідування відомостей щодо розслідування </w:t>
      </w:r>
      <w:r w:rsidRPr="00A17A4C">
        <w:rPr>
          <w:bCs/>
        </w:rPr>
        <w:t>пожежі (вибухів) на складах боєприпасів в м.Ічня (Чернігівська обл.), м.Калинівка (Вінницька обл.), м.Балаклія, (Харківська обл.), м.Сватове, (Луганська обл.), м.Кривий Ріг (Дніпропетровська обл.) у період з 2014 по 2018 роки</w:t>
      </w:r>
      <w:r w:rsidRPr="00A17A4C">
        <w:t xml:space="preserve"> та </w:t>
      </w:r>
      <w:r w:rsidRPr="00A17A4C">
        <w:rPr>
          <w:shd w:val="clear" w:color="auto" w:fill="FFFFFF"/>
        </w:rPr>
        <w:t>призначеної комплексної судово-військової, вибухотехнічної та пожежо-технічної експертизи, виконання якої потребує часу більше, ніж визначено Постановою</w:t>
      </w:r>
      <w:r w:rsidRPr="00A17A4C">
        <w:rPr>
          <w:shd w:val="clear" w:color="auto" w:fill="FFFFFF"/>
        </w:rPr>
        <w:br/>
      </w:r>
      <w:r w:rsidRPr="00A17A4C">
        <w:t xml:space="preserve">№ </w:t>
      </w:r>
      <w:r w:rsidRPr="00A17A4C">
        <w:rPr>
          <w:rStyle w:val="a6"/>
          <w:color w:val="auto"/>
          <w:u w:val="none"/>
        </w:rPr>
        <w:t>262-ІХ</w:t>
      </w:r>
      <w:r w:rsidRPr="00A17A4C">
        <w:t xml:space="preserve">, вважаємо не завершеною в повній мірі роботу Тимчасової слідчої комісії з виконанням покладених Верховною Радою України завдань». </w:t>
      </w:r>
    </w:p>
    <w:p w:rsidR="00620241" w:rsidRPr="00A17A4C" w:rsidRDefault="00620241" w:rsidP="00620241">
      <w:pPr>
        <w:tabs>
          <w:tab w:val="left" w:pos="993"/>
        </w:tabs>
        <w:ind w:firstLine="567"/>
        <w:jc w:val="both"/>
      </w:pPr>
      <w:r w:rsidRPr="00A17A4C">
        <w:t xml:space="preserve">У додатку до проекту Постанови запропоновано проект Звіту </w:t>
      </w:r>
      <w:r w:rsidRPr="00A17A4C">
        <w:rPr>
          <w:bCs/>
        </w:rPr>
        <w:t>Тимчасової слідчої комісії Верховної Ради України з питань розслідування пожежі (вибухів) на складах боєприпасів в м. Ічня (Чернігівська обл.), м. Калинівка (Вінницька обл.), м. Балаклія (Харківська обл.), м. Сватове (Луганська обл.), м. Кривий Ріг (Дніпропетровська обл.) у період з 2014 по 2018 роки.</w:t>
      </w:r>
    </w:p>
    <w:p w:rsidR="00205123" w:rsidRPr="00A17A4C" w:rsidRDefault="005B6DD9" w:rsidP="00A731F7">
      <w:pPr>
        <w:ind w:firstLine="567"/>
        <w:jc w:val="both"/>
        <w:rPr>
          <w:rStyle w:val="rvts0"/>
        </w:rPr>
      </w:pPr>
      <w:r w:rsidRPr="00A17A4C">
        <w:t xml:space="preserve">У контексті запропонованих проектом Постанови </w:t>
      </w:r>
      <w:r w:rsidR="00620241" w:rsidRPr="00A17A4C">
        <w:t xml:space="preserve">та доданим до нього проектом Звіту Тимчасової слідчої комісії </w:t>
      </w:r>
      <w:r w:rsidRPr="00A17A4C">
        <w:t xml:space="preserve">положень, </w:t>
      </w:r>
      <w:r w:rsidR="00090211">
        <w:t xml:space="preserve">Комітет </w:t>
      </w:r>
      <w:r w:rsidR="0029628C">
        <w:t>зазначив</w:t>
      </w:r>
      <w:r w:rsidRPr="00A17A4C">
        <w:t xml:space="preserve">, що </w:t>
      </w:r>
      <w:r w:rsidR="003C4C9D" w:rsidRPr="00A17A4C">
        <w:t>Постанов</w:t>
      </w:r>
      <w:r w:rsidR="00620241" w:rsidRPr="00A17A4C">
        <w:t>ою</w:t>
      </w:r>
      <w:r w:rsidR="003C4C9D" w:rsidRPr="00A17A4C">
        <w:t xml:space="preserve"> Верховної Ради України «</w:t>
      </w:r>
      <w:r w:rsidR="003C4C9D" w:rsidRPr="00A17A4C">
        <w:rPr>
          <w:rStyle w:val="rvts23"/>
        </w:rPr>
        <w:t>Про утворення Тимчасової слідчої комісії Верховної Ради України з питань розслідування пожежі (вибухів) на складах боєприпасів в м. Ічня (Чернігівська обл.),</w:t>
      </w:r>
      <w:r w:rsidR="00620241" w:rsidRPr="00A17A4C">
        <w:rPr>
          <w:rStyle w:val="rvts23"/>
        </w:rPr>
        <w:t xml:space="preserve"> м. Калинівка </w:t>
      </w:r>
      <w:r w:rsidR="003C4C9D" w:rsidRPr="00A17A4C">
        <w:rPr>
          <w:rStyle w:val="rvts23"/>
        </w:rPr>
        <w:t>(Вінницька обл.),</w:t>
      </w:r>
      <w:r w:rsidR="00620241" w:rsidRPr="00A17A4C">
        <w:rPr>
          <w:rStyle w:val="rvts23"/>
        </w:rPr>
        <w:br/>
      </w:r>
      <w:r w:rsidR="003C4C9D" w:rsidRPr="00A17A4C">
        <w:rPr>
          <w:rStyle w:val="rvts23"/>
        </w:rPr>
        <w:t>м. Балаклія (Харківська обл.</w:t>
      </w:r>
      <w:r w:rsidR="00620241" w:rsidRPr="00A17A4C">
        <w:rPr>
          <w:rStyle w:val="rvts23"/>
        </w:rPr>
        <w:t xml:space="preserve">), м. Сватове (Луганська обл.), </w:t>
      </w:r>
      <w:r w:rsidR="003C4C9D" w:rsidRPr="00A17A4C">
        <w:rPr>
          <w:rStyle w:val="rvts23"/>
        </w:rPr>
        <w:t>м. Кривий Ріг (Дніпропетровська обл.) у період з 2014 по 2018 роки</w:t>
      </w:r>
      <w:r w:rsidR="003C4C9D" w:rsidRPr="00A17A4C">
        <w:t>» від 31.10.2019 № 262-ІХ</w:t>
      </w:r>
      <w:r w:rsidR="00620241" w:rsidRPr="00A17A4C">
        <w:t xml:space="preserve">, </w:t>
      </w:r>
      <w:r w:rsidR="00620241" w:rsidRPr="00A17A4C">
        <w:rPr>
          <w:rStyle w:val="rvts0"/>
        </w:rPr>
        <w:t xml:space="preserve">відповідно до </w:t>
      </w:r>
      <w:hyperlink r:id="rId7" w:anchor="n5091" w:tgtFrame="_blank" w:history="1">
        <w:r w:rsidR="00620241" w:rsidRPr="00A17A4C">
          <w:rPr>
            <w:rStyle w:val="a6"/>
            <w:color w:val="auto"/>
            <w:u w:val="none"/>
          </w:rPr>
          <w:t>частини третьої</w:t>
        </w:r>
      </w:hyperlink>
      <w:r w:rsidR="00620241" w:rsidRPr="00A17A4C">
        <w:rPr>
          <w:rStyle w:val="rvts0"/>
        </w:rPr>
        <w:t xml:space="preserve"> статті 89 Конституції України та </w:t>
      </w:r>
      <w:hyperlink r:id="rId8" w:anchor="n682" w:tgtFrame="_blank" w:history="1">
        <w:r w:rsidR="00620241" w:rsidRPr="00A17A4C">
          <w:rPr>
            <w:rStyle w:val="a6"/>
            <w:color w:val="auto"/>
            <w:u w:val="none"/>
          </w:rPr>
          <w:t>статті 87</w:t>
        </w:r>
      </w:hyperlink>
      <w:r w:rsidR="00620241" w:rsidRPr="00A17A4C">
        <w:rPr>
          <w:rStyle w:val="rvts0"/>
        </w:rPr>
        <w:t xml:space="preserve"> Регламенту Верховної Ради України Верховн</w:t>
      </w:r>
      <w:r w:rsidR="003E1283" w:rsidRPr="00A17A4C">
        <w:rPr>
          <w:rStyle w:val="rvts0"/>
        </w:rPr>
        <w:t>ою</w:t>
      </w:r>
      <w:r w:rsidR="00620241" w:rsidRPr="00A17A4C">
        <w:rPr>
          <w:rStyle w:val="rvts0"/>
        </w:rPr>
        <w:t xml:space="preserve"> Рад</w:t>
      </w:r>
      <w:r w:rsidR="003E1283" w:rsidRPr="00A17A4C">
        <w:rPr>
          <w:rStyle w:val="rvts0"/>
        </w:rPr>
        <w:t>ою</w:t>
      </w:r>
      <w:r w:rsidR="00620241" w:rsidRPr="00A17A4C">
        <w:rPr>
          <w:rStyle w:val="rvts0"/>
        </w:rPr>
        <w:t xml:space="preserve"> України</w:t>
      </w:r>
      <w:r w:rsidR="00620241" w:rsidRPr="00A17A4C">
        <w:t xml:space="preserve"> </w:t>
      </w:r>
      <w:r w:rsidR="003C4C9D" w:rsidRPr="00A17A4C">
        <w:t xml:space="preserve">було утворено </w:t>
      </w:r>
      <w:r w:rsidR="00620241" w:rsidRPr="00A17A4C">
        <w:t>Тимчасову слідчу комісію з</w:t>
      </w:r>
      <w:r w:rsidR="00620241" w:rsidRPr="00A17A4C">
        <w:rPr>
          <w:rStyle w:val="rvts0"/>
        </w:rPr>
        <w:t xml:space="preserve"> метою здійснення парламентського контролю щодо дослідження та здійснення неупередженого та прозорого розслідування обставин та причин пожежі (вибухів) на складах боєприпасів, нанесення збитків обороноздатності України та, зокрема, Державному бюджету України, а також визначено перелік основних завдань Тимчасової слідчої комісії, її кількісний та  персональний склад та визначено </w:t>
      </w:r>
      <w:r w:rsidR="00620241" w:rsidRPr="00A17A4C">
        <w:t>термін діяльності Тимчасової слідчої комісії – ш</w:t>
      </w:r>
      <w:r w:rsidR="00205123" w:rsidRPr="00A17A4C">
        <w:t>ість місяців з дня її утворення (т</w:t>
      </w:r>
      <w:r w:rsidR="001F7E95" w:rsidRPr="00A17A4C">
        <w:rPr>
          <w:rStyle w:val="rvts0"/>
        </w:rPr>
        <w:t>аким чином, термін діяльності Т</w:t>
      </w:r>
      <w:r w:rsidR="00205123" w:rsidRPr="00A17A4C">
        <w:rPr>
          <w:rStyle w:val="rvts0"/>
        </w:rPr>
        <w:t>имчасової слідчої комісії мав би</w:t>
      </w:r>
      <w:r w:rsidR="001F7E95" w:rsidRPr="00A17A4C">
        <w:rPr>
          <w:rStyle w:val="rvts0"/>
        </w:rPr>
        <w:t xml:space="preserve"> завершитися </w:t>
      </w:r>
      <w:r w:rsidR="00602F28" w:rsidRPr="00A17A4C">
        <w:rPr>
          <w:rStyle w:val="rvts0"/>
        </w:rPr>
        <w:t>30 квітня 2020 року</w:t>
      </w:r>
      <w:r w:rsidR="00205123" w:rsidRPr="00A17A4C">
        <w:rPr>
          <w:rStyle w:val="rvts0"/>
        </w:rPr>
        <w:t>)</w:t>
      </w:r>
      <w:r w:rsidR="00602F28" w:rsidRPr="00A17A4C">
        <w:rPr>
          <w:rStyle w:val="rvts0"/>
        </w:rPr>
        <w:t>.</w:t>
      </w:r>
    </w:p>
    <w:p w:rsidR="001F7E95" w:rsidRPr="00A17A4C" w:rsidRDefault="00205123" w:rsidP="00A731F7">
      <w:pPr>
        <w:ind w:firstLine="567"/>
        <w:jc w:val="both"/>
        <w:rPr>
          <w:rStyle w:val="rvts0"/>
        </w:rPr>
      </w:pPr>
      <w:r w:rsidRPr="00A17A4C">
        <w:rPr>
          <w:rStyle w:val="rvts0"/>
        </w:rPr>
        <w:lastRenderedPageBreak/>
        <w:t xml:space="preserve">Головою Тимчасової слідчої комісії </w:t>
      </w:r>
      <w:r w:rsidR="00090211">
        <w:rPr>
          <w:rStyle w:val="rvts0"/>
        </w:rPr>
        <w:t>обрано</w:t>
      </w:r>
      <w:r w:rsidRPr="00A17A4C">
        <w:rPr>
          <w:rStyle w:val="rvts0"/>
        </w:rPr>
        <w:t xml:space="preserve"> народного депутата України </w:t>
      </w:r>
      <w:r w:rsidR="00090211">
        <w:t xml:space="preserve">Арахамію Д. Г., який є </w:t>
      </w:r>
      <w:r w:rsidRPr="00A17A4C">
        <w:t xml:space="preserve">ініціатором </w:t>
      </w:r>
      <w:r w:rsidR="00090211">
        <w:t xml:space="preserve">внесеного </w:t>
      </w:r>
      <w:r w:rsidRPr="00A17A4C">
        <w:t>проекту Постанови Верховної Ради України реєстр. № 3384.</w:t>
      </w:r>
    </w:p>
    <w:p w:rsidR="001B15CC" w:rsidRPr="00A17A4C" w:rsidRDefault="00205123" w:rsidP="00A731F7">
      <w:pPr>
        <w:pStyle w:val="rvps2"/>
        <w:spacing w:before="0" w:beforeAutospacing="0" w:after="0" w:afterAutospacing="0"/>
        <w:ind w:firstLine="567"/>
        <w:jc w:val="both"/>
        <w:rPr>
          <w:sz w:val="28"/>
          <w:szCs w:val="28"/>
          <w:lang w:val="uk-UA"/>
        </w:rPr>
      </w:pPr>
      <w:r w:rsidRPr="00A17A4C">
        <w:rPr>
          <w:rStyle w:val="rvts0"/>
          <w:sz w:val="28"/>
          <w:szCs w:val="28"/>
          <w:lang w:val="uk-UA"/>
        </w:rPr>
        <w:t>Вимоги</w:t>
      </w:r>
      <w:r w:rsidR="00A731F7" w:rsidRPr="00A17A4C">
        <w:rPr>
          <w:rStyle w:val="rvts0"/>
          <w:sz w:val="28"/>
          <w:szCs w:val="28"/>
          <w:lang w:val="uk-UA"/>
        </w:rPr>
        <w:t xml:space="preserve"> до</w:t>
      </w:r>
      <w:r w:rsidR="00602F28" w:rsidRPr="00A17A4C">
        <w:rPr>
          <w:rStyle w:val="rvts0"/>
          <w:sz w:val="28"/>
          <w:szCs w:val="28"/>
          <w:lang w:val="uk-UA"/>
        </w:rPr>
        <w:t xml:space="preserve"> в</w:t>
      </w:r>
      <w:r w:rsidR="00602F28" w:rsidRPr="00A17A4C">
        <w:rPr>
          <w:sz w:val="28"/>
          <w:szCs w:val="28"/>
          <w:lang w:val="uk-UA"/>
        </w:rPr>
        <w:t>исновків щодо ро</w:t>
      </w:r>
      <w:r w:rsidR="00A731F7" w:rsidRPr="00A17A4C">
        <w:rPr>
          <w:sz w:val="28"/>
          <w:szCs w:val="28"/>
          <w:lang w:val="uk-UA"/>
        </w:rPr>
        <w:t>боти тимчасової слідчої комісії, особливості надання тимчасовою слідчою комісією звіту щодо її роботи визначені положеннями статей 87, 88 Регламенту Верховної Ради України, статей 21, 22 Закону України «</w:t>
      </w:r>
      <w:r w:rsidR="00A731F7" w:rsidRPr="00A17A4C">
        <w:rPr>
          <w:rStyle w:val="rvts23"/>
          <w:sz w:val="28"/>
          <w:szCs w:val="28"/>
          <w:lang w:val="uk-UA"/>
        </w:rPr>
        <w:t>Про тимчасові слідчі комісії і тимчасові спеціальні комісії Верховної Ради України</w:t>
      </w:r>
      <w:r w:rsidR="00A731F7" w:rsidRPr="00A17A4C">
        <w:rPr>
          <w:sz w:val="28"/>
          <w:szCs w:val="28"/>
          <w:lang w:val="uk-UA"/>
        </w:rPr>
        <w:t>».</w:t>
      </w:r>
    </w:p>
    <w:p w:rsidR="001B15CC" w:rsidRPr="00A17A4C" w:rsidRDefault="00A731F7" w:rsidP="001B15CC">
      <w:pPr>
        <w:pStyle w:val="rvps2"/>
        <w:spacing w:before="0" w:beforeAutospacing="0" w:after="0" w:afterAutospacing="0"/>
        <w:ind w:firstLine="567"/>
        <w:jc w:val="both"/>
        <w:rPr>
          <w:sz w:val="28"/>
          <w:szCs w:val="28"/>
          <w:lang w:val="uk-UA"/>
        </w:rPr>
      </w:pPr>
      <w:r w:rsidRPr="00A17A4C">
        <w:rPr>
          <w:sz w:val="28"/>
          <w:szCs w:val="28"/>
          <w:lang w:val="uk-UA"/>
        </w:rPr>
        <w:t>Так, зокрема, результати розслідування тимчасова слідча комісія викладає в звіті, який повинен містити висновки і пропозиції про</w:t>
      </w:r>
      <w:bookmarkStart w:id="0" w:name="n2187"/>
      <w:bookmarkStart w:id="1" w:name="n700"/>
      <w:bookmarkEnd w:id="0"/>
      <w:bookmarkEnd w:id="1"/>
      <w:r w:rsidRPr="00A17A4C">
        <w:rPr>
          <w:sz w:val="28"/>
          <w:szCs w:val="28"/>
          <w:lang w:val="uk-UA"/>
        </w:rPr>
        <w:t xml:space="preserve"> факти й обставини, які стали підставами для проведення розслідування;</w:t>
      </w:r>
      <w:bookmarkStart w:id="2" w:name="n701"/>
      <w:bookmarkEnd w:id="2"/>
      <w:r w:rsidRPr="00A17A4C">
        <w:rPr>
          <w:sz w:val="28"/>
          <w:szCs w:val="28"/>
          <w:lang w:val="uk-UA"/>
        </w:rPr>
        <w:t xml:space="preserve"> відомості чи обставини, встановлені тимчасовою слідчою комісією, і докази, якими це підтверджується;</w:t>
      </w:r>
      <w:bookmarkStart w:id="3" w:name="n702"/>
      <w:bookmarkEnd w:id="3"/>
      <w:r w:rsidRPr="00A17A4C">
        <w:rPr>
          <w:sz w:val="28"/>
          <w:szCs w:val="28"/>
          <w:lang w:val="uk-UA"/>
        </w:rPr>
        <w:t xml:space="preserve"> відомості чи обставини, що не підтвердилися;</w:t>
      </w:r>
      <w:bookmarkStart w:id="4" w:name="n703"/>
      <w:bookmarkEnd w:id="4"/>
      <w:r w:rsidRPr="00A17A4C">
        <w:rPr>
          <w:sz w:val="28"/>
          <w:szCs w:val="28"/>
          <w:lang w:val="uk-UA"/>
        </w:rPr>
        <w:t xml:space="preserve"> факти й обставини, які не були перевірені,</w:t>
      </w:r>
      <w:r w:rsidR="001B15CC" w:rsidRPr="00A17A4C">
        <w:rPr>
          <w:sz w:val="28"/>
          <w:szCs w:val="28"/>
          <w:lang w:val="uk-UA"/>
        </w:rPr>
        <w:t xml:space="preserve"> із зазначенням причин, з яких перевірка не здійснювалася</w:t>
      </w:r>
      <w:bookmarkStart w:id="5" w:name="n170"/>
      <w:bookmarkEnd w:id="5"/>
      <w:r w:rsidR="001B15CC" w:rsidRPr="00A17A4C">
        <w:rPr>
          <w:sz w:val="28"/>
          <w:szCs w:val="28"/>
          <w:lang w:val="uk-UA"/>
        </w:rPr>
        <w:t>.</w:t>
      </w:r>
    </w:p>
    <w:p w:rsidR="00090211" w:rsidRDefault="00A731F7" w:rsidP="00A731F7">
      <w:pPr>
        <w:pStyle w:val="rvps2"/>
        <w:spacing w:before="0" w:beforeAutospacing="0" w:after="0" w:afterAutospacing="0"/>
        <w:ind w:firstLine="567"/>
        <w:jc w:val="both"/>
        <w:rPr>
          <w:sz w:val="28"/>
          <w:szCs w:val="28"/>
          <w:lang w:val="uk-UA"/>
        </w:rPr>
      </w:pPr>
      <w:bookmarkStart w:id="6" w:name="n175"/>
      <w:bookmarkStart w:id="7" w:name="n704"/>
      <w:bookmarkEnd w:id="6"/>
      <w:bookmarkEnd w:id="7"/>
      <w:r w:rsidRPr="00A17A4C">
        <w:rPr>
          <w:sz w:val="28"/>
          <w:szCs w:val="28"/>
          <w:lang w:val="uk-UA"/>
        </w:rPr>
        <w:t>У пропозиціях тимчасової слідчої комісії зазначається, яким чином мають бути використані висновки тимчасової слідчої комісії в разі прийняття Верховною Радою України рішення щодо них. Пропозиції тимчасової слідчої комісії викладаються у проекті постанови чи іншого акта Верховної Ради України і вносяться на розгляд Верховної Ради України народними депутатами України – членами тимчасової слідчої комісії.</w:t>
      </w:r>
      <w:r w:rsidR="00992B3D" w:rsidRPr="00A17A4C">
        <w:rPr>
          <w:sz w:val="28"/>
          <w:szCs w:val="28"/>
          <w:lang w:val="uk-UA"/>
        </w:rPr>
        <w:t xml:space="preserve"> </w:t>
      </w:r>
      <w:bookmarkStart w:id="8" w:name="n705"/>
      <w:bookmarkEnd w:id="8"/>
    </w:p>
    <w:p w:rsidR="00A731F7" w:rsidRPr="00A17A4C" w:rsidRDefault="00A731F7" w:rsidP="00A731F7">
      <w:pPr>
        <w:pStyle w:val="rvps2"/>
        <w:spacing w:before="0" w:beforeAutospacing="0" w:after="0" w:afterAutospacing="0"/>
        <w:ind w:firstLine="567"/>
        <w:jc w:val="both"/>
        <w:rPr>
          <w:sz w:val="28"/>
          <w:szCs w:val="28"/>
          <w:lang w:val="uk-UA"/>
        </w:rPr>
      </w:pPr>
      <w:r w:rsidRPr="00A17A4C">
        <w:rPr>
          <w:sz w:val="28"/>
          <w:szCs w:val="28"/>
          <w:lang w:val="uk-UA"/>
        </w:rPr>
        <w:t xml:space="preserve">За результатами розгляду висновків і пропозицій тимчасової слідчої комісії Верховна Рада України може прийняти рішення, зокрема, </w:t>
      </w:r>
      <w:bookmarkStart w:id="9" w:name="n706"/>
      <w:bookmarkEnd w:id="9"/>
      <w:r w:rsidRPr="00A17A4C">
        <w:rPr>
          <w:sz w:val="28"/>
          <w:szCs w:val="28"/>
          <w:lang w:val="uk-UA"/>
        </w:rPr>
        <w:t>взяти до відома висновки і пропозиції тимчасової слідчої комісії;</w:t>
      </w:r>
      <w:bookmarkStart w:id="10" w:name="n707"/>
      <w:bookmarkEnd w:id="10"/>
      <w:r w:rsidRPr="00A17A4C">
        <w:rPr>
          <w:sz w:val="28"/>
          <w:szCs w:val="28"/>
          <w:lang w:val="uk-UA"/>
        </w:rPr>
        <w:t xml:space="preserve"> продовжити роботу тимчасової слідчої комісії на визначений Верховною Радою України </w:t>
      </w:r>
      <w:r w:rsidR="001B15CC" w:rsidRPr="00A17A4C">
        <w:rPr>
          <w:sz w:val="28"/>
          <w:szCs w:val="28"/>
          <w:lang w:val="uk-UA"/>
        </w:rPr>
        <w:t xml:space="preserve">термін </w:t>
      </w:r>
      <w:r w:rsidR="001B15CC" w:rsidRPr="00A17A4C">
        <w:rPr>
          <w:rStyle w:val="rvts0"/>
          <w:sz w:val="28"/>
          <w:szCs w:val="28"/>
          <w:lang w:val="uk-UA"/>
        </w:rPr>
        <w:t xml:space="preserve">з урахуванням вимог </w:t>
      </w:r>
      <w:hyperlink r:id="rId9" w:anchor="n21" w:history="1">
        <w:r w:rsidR="001B15CC" w:rsidRPr="00A17A4C">
          <w:rPr>
            <w:rStyle w:val="a6"/>
            <w:color w:val="auto"/>
            <w:sz w:val="28"/>
            <w:szCs w:val="28"/>
            <w:u w:val="none"/>
            <w:lang w:val="uk-UA"/>
          </w:rPr>
          <w:t>частини сьомої</w:t>
        </w:r>
      </w:hyperlink>
      <w:r w:rsidR="001B15CC" w:rsidRPr="00A17A4C">
        <w:rPr>
          <w:rStyle w:val="rvts0"/>
          <w:sz w:val="28"/>
          <w:szCs w:val="28"/>
          <w:lang w:val="uk-UA"/>
        </w:rPr>
        <w:t xml:space="preserve"> статті 3 Закону України «</w:t>
      </w:r>
      <w:r w:rsidR="001B15CC" w:rsidRPr="00A17A4C">
        <w:rPr>
          <w:rStyle w:val="rvts23"/>
          <w:sz w:val="28"/>
          <w:szCs w:val="28"/>
          <w:lang w:val="uk-UA"/>
        </w:rPr>
        <w:t>Про тимчасові слідчі комісії і тимчасові спеціальні комісії Верховної Ради України</w:t>
      </w:r>
      <w:r w:rsidR="001B15CC" w:rsidRPr="00A17A4C">
        <w:rPr>
          <w:rStyle w:val="rvts0"/>
          <w:sz w:val="28"/>
          <w:szCs w:val="28"/>
          <w:lang w:val="uk-UA"/>
        </w:rPr>
        <w:t>»</w:t>
      </w:r>
      <w:r w:rsidR="001B15CC" w:rsidRPr="00A17A4C">
        <w:rPr>
          <w:sz w:val="28"/>
          <w:szCs w:val="28"/>
          <w:lang w:val="uk-UA"/>
        </w:rPr>
        <w:t xml:space="preserve"> – </w:t>
      </w:r>
      <w:r w:rsidRPr="00A17A4C">
        <w:rPr>
          <w:sz w:val="28"/>
          <w:szCs w:val="28"/>
          <w:lang w:val="uk-UA"/>
        </w:rPr>
        <w:t>не більше одного року з</w:t>
      </w:r>
      <w:r w:rsidR="001B15CC" w:rsidRPr="00A17A4C">
        <w:rPr>
          <w:rStyle w:val="30"/>
          <w:sz w:val="28"/>
          <w:szCs w:val="28"/>
          <w:lang w:val="uk-UA"/>
        </w:rPr>
        <w:t xml:space="preserve"> </w:t>
      </w:r>
      <w:r w:rsidR="001B15CC" w:rsidRPr="00A17A4C">
        <w:rPr>
          <w:sz w:val="28"/>
          <w:szCs w:val="28"/>
          <w:lang w:val="uk-UA" w:eastAsia="uk-UA"/>
        </w:rPr>
        <w:t xml:space="preserve"> дня утворення такої комісії </w:t>
      </w:r>
      <w:r w:rsidRPr="00A17A4C">
        <w:rPr>
          <w:sz w:val="28"/>
          <w:szCs w:val="28"/>
          <w:lang w:val="uk-UA"/>
        </w:rPr>
        <w:t>(</w:t>
      </w:r>
      <w:r w:rsidR="001B15CC" w:rsidRPr="00A17A4C">
        <w:rPr>
          <w:sz w:val="28"/>
          <w:szCs w:val="28"/>
          <w:lang w:val="uk-UA"/>
        </w:rPr>
        <w:t>у</w:t>
      </w:r>
      <w:r w:rsidRPr="00A17A4C">
        <w:rPr>
          <w:sz w:val="28"/>
          <w:szCs w:val="28"/>
          <w:lang w:val="uk-UA"/>
        </w:rPr>
        <w:t xml:space="preserve"> даному випадку не більше як</w:t>
      </w:r>
      <w:r w:rsidR="00551ADE" w:rsidRPr="00A17A4C">
        <w:rPr>
          <w:sz w:val="28"/>
          <w:szCs w:val="28"/>
          <w:lang w:val="uk-UA"/>
        </w:rPr>
        <w:t xml:space="preserve"> </w:t>
      </w:r>
      <w:r w:rsidRPr="00A17A4C">
        <w:rPr>
          <w:sz w:val="28"/>
          <w:szCs w:val="28"/>
          <w:lang w:val="uk-UA"/>
        </w:rPr>
        <w:t xml:space="preserve">до 31 жовтня 2020 року). </w:t>
      </w:r>
    </w:p>
    <w:p w:rsidR="000A4547" w:rsidRPr="00A17A4C" w:rsidRDefault="000A4547" w:rsidP="00170455">
      <w:pPr>
        <w:pStyle w:val="rvps2"/>
        <w:spacing w:before="0" w:beforeAutospacing="0" w:after="0" w:afterAutospacing="0"/>
        <w:ind w:firstLine="567"/>
        <w:jc w:val="both"/>
        <w:rPr>
          <w:sz w:val="28"/>
          <w:szCs w:val="28"/>
          <w:lang w:val="uk-UA"/>
        </w:rPr>
      </w:pPr>
      <w:r w:rsidRPr="00A17A4C">
        <w:rPr>
          <w:sz w:val="28"/>
          <w:szCs w:val="28"/>
          <w:lang w:val="uk-UA"/>
        </w:rPr>
        <w:t>Враховуючи вказані положення законодавства,</w:t>
      </w:r>
      <w:r w:rsidR="00205123" w:rsidRPr="00A17A4C">
        <w:rPr>
          <w:sz w:val="28"/>
          <w:szCs w:val="28"/>
          <w:lang w:val="uk-UA"/>
        </w:rPr>
        <w:t xml:space="preserve"> що</w:t>
      </w:r>
      <w:r w:rsidRPr="00A17A4C">
        <w:rPr>
          <w:sz w:val="28"/>
          <w:szCs w:val="28"/>
          <w:lang w:val="uk-UA"/>
        </w:rPr>
        <w:t xml:space="preserve"> </w:t>
      </w:r>
      <w:r w:rsidRPr="00A17A4C">
        <w:rPr>
          <w:sz w:val="28"/>
          <w:szCs w:val="28"/>
          <w:lang w:val="uk-UA" w:eastAsia="uk-UA"/>
        </w:rPr>
        <w:t>визначає правовий ст</w:t>
      </w:r>
      <w:r w:rsidR="00205123" w:rsidRPr="00A17A4C">
        <w:rPr>
          <w:sz w:val="28"/>
          <w:szCs w:val="28"/>
          <w:lang w:val="uk-UA" w:eastAsia="uk-UA"/>
        </w:rPr>
        <w:t xml:space="preserve">атус тимчасових слідчих комісій, </w:t>
      </w:r>
      <w:r w:rsidRPr="00A17A4C">
        <w:rPr>
          <w:sz w:val="28"/>
          <w:szCs w:val="28"/>
          <w:lang w:val="uk-UA" w:eastAsia="uk-UA"/>
        </w:rPr>
        <w:t>їх повноваження та організаційні основи діяльності</w:t>
      </w:r>
      <w:r w:rsidR="00205123" w:rsidRPr="00A17A4C">
        <w:rPr>
          <w:sz w:val="28"/>
          <w:szCs w:val="28"/>
          <w:lang w:val="uk-UA" w:eastAsia="uk-UA"/>
        </w:rPr>
        <w:t>, внесено на розгляд Верховної Ради України вказаний проект Постанови (реєстр. № 3384)</w:t>
      </w:r>
      <w:r w:rsidR="009921F5" w:rsidRPr="00A17A4C">
        <w:rPr>
          <w:sz w:val="28"/>
          <w:szCs w:val="28"/>
          <w:lang w:val="uk-UA"/>
        </w:rPr>
        <w:t>, серед пропозицій якого – і продовження роботи Тимчасової слідчої комісії з урахуванням вимог частини сьомої статті 3 Закону України «</w:t>
      </w:r>
      <w:r w:rsidR="009921F5" w:rsidRPr="00A17A4C">
        <w:rPr>
          <w:rStyle w:val="rvts23"/>
          <w:sz w:val="28"/>
          <w:szCs w:val="28"/>
          <w:lang w:val="uk-UA"/>
        </w:rPr>
        <w:t>Про тимчасові слідчі комісії і тимчасові спеціальні комісії Верховної Ради України</w:t>
      </w:r>
      <w:r w:rsidR="009921F5" w:rsidRPr="00A17A4C">
        <w:rPr>
          <w:sz w:val="28"/>
          <w:szCs w:val="28"/>
          <w:lang w:val="uk-UA"/>
        </w:rPr>
        <w:t>».</w:t>
      </w:r>
    </w:p>
    <w:p w:rsidR="00170455" w:rsidRPr="00A17A4C" w:rsidRDefault="00170455" w:rsidP="006A6C56">
      <w:pPr>
        <w:pStyle w:val="HTML"/>
        <w:ind w:firstLine="567"/>
        <w:jc w:val="both"/>
        <w:rPr>
          <w:rFonts w:ascii="Times New Roman" w:hAnsi="Times New Roman" w:cs="Times New Roman"/>
          <w:sz w:val="28"/>
          <w:szCs w:val="28"/>
        </w:rPr>
      </w:pPr>
      <w:bookmarkStart w:id="11" w:name="n177"/>
      <w:bookmarkEnd w:id="11"/>
      <w:r w:rsidRPr="00A17A4C">
        <w:rPr>
          <w:rFonts w:ascii="Times New Roman" w:hAnsi="Times New Roman" w:cs="Times New Roman"/>
          <w:sz w:val="28"/>
          <w:szCs w:val="28"/>
        </w:rPr>
        <w:t xml:space="preserve">Водночас, </w:t>
      </w:r>
      <w:r w:rsidR="003E1283" w:rsidRPr="00A17A4C">
        <w:rPr>
          <w:rFonts w:ascii="Times New Roman" w:hAnsi="Times New Roman" w:cs="Times New Roman"/>
          <w:sz w:val="28"/>
          <w:szCs w:val="28"/>
        </w:rPr>
        <w:t xml:space="preserve">Комітет </w:t>
      </w:r>
      <w:r w:rsidRPr="00A17A4C">
        <w:rPr>
          <w:rFonts w:ascii="Times New Roman" w:hAnsi="Times New Roman" w:cs="Times New Roman"/>
          <w:sz w:val="28"/>
          <w:szCs w:val="28"/>
        </w:rPr>
        <w:t>зверну</w:t>
      </w:r>
      <w:r w:rsidR="003E1283" w:rsidRPr="00A17A4C">
        <w:rPr>
          <w:rFonts w:ascii="Times New Roman" w:hAnsi="Times New Roman" w:cs="Times New Roman"/>
          <w:sz w:val="28"/>
          <w:szCs w:val="28"/>
        </w:rPr>
        <w:t>в</w:t>
      </w:r>
      <w:r w:rsidRPr="00A17A4C">
        <w:rPr>
          <w:rFonts w:ascii="Times New Roman" w:hAnsi="Times New Roman" w:cs="Times New Roman"/>
          <w:sz w:val="28"/>
          <w:szCs w:val="28"/>
        </w:rPr>
        <w:t xml:space="preserve"> увагу на пункт 6 проекту Постанови з рекомендацією Верховній Раді України вирішити питання щодо законодавчого забезпечення посилення гарантій незалежності судового експерта та належного забезпечення здійснення судово-експертної діяльності.</w:t>
      </w:r>
      <w:r w:rsidRPr="00A17A4C">
        <w:rPr>
          <w:rFonts w:ascii="Times New Roman" w:hAnsi="Times New Roman" w:cs="Times New Roman"/>
          <w:sz w:val="28"/>
          <w:szCs w:val="28"/>
          <w:lang w:eastAsia="en-US"/>
        </w:rPr>
        <w:t xml:space="preserve"> Так, аналогічний пункт (з рекомендацією такого ж змісту) був запропонований у прийнятій Постанові Верховної Ради України «</w:t>
      </w:r>
      <w:r w:rsidR="00AE1721" w:rsidRPr="00A17A4C">
        <w:rPr>
          <w:rStyle w:val="rvts23"/>
          <w:rFonts w:ascii="Times New Roman" w:hAnsi="Times New Roman" w:cs="Times New Roman"/>
          <w:sz w:val="28"/>
          <w:szCs w:val="28"/>
        </w:rPr>
        <w:t>Про попередній звіт Тимчасової слідчої комісії Верховної Ради України для проведення розслідування відомостей щодо нападів на Катерину Гандзюк та інших громадських активістів</w:t>
      </w:r>
      <w:r w:rsidRPr="00A17A4C">
        <w:rPr>
          <w:rFonts w:ascii="Times New Roman" w:hAnsi="Times New Roman" w:cs="Times New Roman"/>
          <w:sz w:val="28"/>
          <w:szCs w:val="28"/>
          <w:lang w:eastAsia="en-US"/>
        </w:rPr>
        <w:t>»</w:t>
      </w:r>
      <w:r w:rsidR="00AE1721" w:rsidRPr="00A17A4C">
        <w:rPr>
          <w:rFonts w:ascii="Times New Roman" w:hAnsi="Times New Roman" w:cs="Times New Roman"/>
          <w:sz w:val="28"/>
          <w:szCs w:val="28"/>
          <w:lang w:eastAsia="en-US"/>
        </w:rPr>
        <w:t xml:space="preserve"> від </w:t>
      </w:r>
      <w:r w:rsidR="00AE1721" w:rsidRPr="00A17A4C">
        <w:rPr>
          <w:rFonts w:ascii="Times New Roman" w:hAnsi="Times New Roman" w:cs="Times New Roman"/>
          <w:sz w:val="28"/>
          <w:szCs w:val="28"/>
        </w:rPr>
        <w:t xml:space="preserve">28 лютого 2019 року </w:t>
      </w:r>
      <w:r w:rsidR="00AE1721" w:rsidRPr="00A17A4C">
        <w:rPr>
          <w:rFonts w:ascii="Times New Roman" w:hAnsi="Times New Roman" w:cs="Times New Roman"/>
          <w:sz w:val="28"/>
          <w:szCs w:val="28"/>
        </w:rPr>
        <w:br/>
        <w:t xml:space="preserve">№ 2701-VIII (а саме згідно з пунктом 7 цієї Постанови було рекомендовано Верховній Раді України вирішити питання щодо законодавчого забезпечення посилення гарантій незалежності судового експерта та належного забезпечення </w:t>
      </w:r>
      <w:r w:rsidR="00AE1721" w:rsidRPr="00A17A4C">
        <w:rPr>
          <w:rFonts w:ascii="Times New Roman" w:hAnsi="Times New Roman" w:cs="Times New Roman"/>
          <w:sz w:val="28"/>
          <w:szCs w:val="28"/>
        </w:rPr>
        <w:lastRenderedPageBreak/>
        <w:t xml:space="preserve">здійснення судово-експертної діяльності). Таким чином, рекомендація Верховній Раді України щодо певного </w:t>
      </w:r>
      <w:r w:rsidR="00FA10E6" w:rsidRPr="00A17A4C">
        <w:rPr>
          <w:rFonts w:ascii="Times New Roman" w:hAnsi="Times New Roman" w:cs="Times New Roman"/>
          <w:sz w:val="28"/>
          <w:szCs w:val="28"/>
        </w:rPr>
        <w:t xml:space="preserve">законодавчого </w:t>
      </w:r>
      <w:r w:rsidR="00AE1721" w:rsidRPr="00A17A4C">
        <w:rPr>
          <w:rFonts w:ascii="Times New Roman" w:hAnsi="Times New Roman" w:cs="Times New Roman"/>
          <w:sz w:val="28"/>
          <w:szCs w:val="28"/>
        </w:rPr>
        <w:t xml:space="preserve">вирішення </w:t>
      </w:r>
      <w:r w:rsidR="00FA10E6" w:rsidRPr="00A17A4C">
        <w:rPr>
          <w:rFonts w:ascii="Times New Roman" w:hAnsi="Times New Roman" w:cs="Times New Roman"/>
          <w:sz w:val="28"/>
          <w:szCs w:val="28"/>
        </w:rPr>
        <w:t>вказаних питань була вже надана Верховній Раді України. Поряд з цим ані проектом Постанови (реєстр. № 3384), ані додатком до нього (проект Звіту тимчасової слідчої комісії) не наведено конкретних пропозицій щодо</w:t>
      </w:r>
      <w:r w:rsidR="005025A3" w:rsidRPr="00A17A4C">
        <w:rPr>
          <w:rFonts w:ascii="Times New Roman" w:hAnsi="Times New Roman" w:cs="Times New Roman"/>
          <w:sz w:val="28"/>
          <w:szCs w:val="28"/>
        </w:rPr>
        <w:t xml:space="preserve"> необхідності</w:t>
      </w:r>
      <w:r w:rsidR="00FA10E6" w:rsidRPr="00A17A4C">
        <w:rPr>
          <w:rFonts w:ascii="Times New Roman" w:hAnsi="Times New Roman" w:cs="Times New Roman"/>
          <w:sz w:val="28"/>
          <w:szCs w:val="28"/>
        </w:rPr>
        <w:t xml:space="preserve"> законодавчого забезпечення посилення гарантій незалежності судового експерта та належного забезпечення здійснення судово-експертної діяльності, які не врегульовані чинним законодавством України. </w:t>
      </w:r>
    </w:p>
    <w:p w:rsidR="006A6C56" w:rsidRPr="00A17A4C" w:rsidRDefault="005025A3" w:rsidP="006A6C56">
      <w:pPr>
        <w:pStyle w:val="rvps2"/>
        <w:spacing w:before="0" w:beforeAutospacing="0" w:after="0" w:afterAutospacing="0"/>
        <w:ind w:firstLine="567"/>
        <w:jc w:val="both"/>
        <w:rPr>
          <w:sz w:val="28"/>
          <w:szCs w:val="28"/>
          <w:lang w:val="uk-UA"/>
        </w:rPr>
      </w:pPr>
      <w:r w:rsidRPr="00A17A4C">
        <w:rPr>
          <w:sz w:val="28"/>
          <w:szCs w:val="28"/>
          <w:lang w:val="uk-UA"/>
        </w:rPr>
        <w:t>Комітет привернув увагу</w:t>
      </w:r>
      <w:r w:rsidR="006A6C56" w:rsidRPr="00A17A4C">
        <w:rPr>
          <w:sz w:val="28"/>
          <w:szCs w:val="28"/>
          <w:lang w:val="uk-UA"/>
        </w:rPr>
        <w:t xml:space="preserve"> і на окремі змістовні неточності, що містяться у тексті проекту Постанови (реєстр. № 3384), зокрема, у її пунктах 3 – 5 вживається словосполучення «Генеральна прокуратура України», однак відповідно до Конституції України в Україні діє прокуратура України, яку очолює Генеральний прокурор (стаття 131</w:t>
      </w:r>
      <w:r w:rsidR="006A6C56" w:rsidRPr="00A17A4C">
        <w:rPr>
          <w:sz w:val="28"/>
          <w:szCs w:val="28"/>
          <w:vertAlign w:val="superscript"/>
          <w:lang w:val="uk-UA"/>
        </w:rPr>
        <w:t>1</w:t>
      </w:r>
      <w:r w:rsidR="006A6C56" w:rsidRPr="00A17A4C">
        <w:rPr>
          <w:sz w:val="28"/>
          <w:szCs w:val="28"/>
          <w:lang w:val="uk-UA"/>
        </w:rPr>
        <w:t xml:space="preserve"> Конституції України); систему прокуратури України становлять</w:t>
      </w:r>
      <w:bookmarkStart w:id="12" w:name="n41"/>
      <w:bookmarkEnd w:id="12"/>
      <w:r w:rsidR="006A6C56" w:rsidRPr="00A17A4C">
        <w:rPr>
          <w:sz w:val="28"/>
          <w:szCs w:val="28"/>
          <w:lang w:val="uk-UA"/>
        </w:rPr>
        <w:t xml:space="preserve">, зокрема, Офіс Генерального прокурора (пункт 1 частини першої статті 7 Закону України «Про прокуратуру»). </w:t>
      </w:r>
    </w:p>
    <w:p w:rsidR="00992B3D" w:rsidRPr="00A17A4C" w:rsidRDefault="006A6C56" w:rsidP="006A6C56">
      <w:pPr>
        <w:pStyle w:val="HTML"/>
        <w:ind w:firstLine="567"/>
        <w:jc w:val="both"/>
        <w:rPr>
          <w:rFonts w:ascii="Times New Roman" w:hAnsi="Times New Roman" w:cs="Times New Roman"/>
          <w:sz w:val="28"/>
          <w:szCs w:val="28"/>
          <w:lang w:eastAsia="en-US"/>
        </w:rPr>
      </w:pPr>
      <w:r w:rsidRPr="00A17A4C">
        <w:rPr>
          <w:rFonts w:ascii="Times New Roman" w:hAnsi="Times New Roman" w:cs="Times New Roman"/>
          <w:sz w:val="28"/>
          <w:szCs w:val="28"/>
        </w:rPr>
        <w:t>Крім того, я</w:t>
      </w:r>
      <w:r w:rsidR="00992B3D" w:rsidRPr="00A17A4C">
        <w:rPr>
          <w:rFonts w:ascii="Times New Roman" w:hAnsi="Times New Roman" w:cs="Times New Roman"/>
          <w:sz w:val="28"/>
          <w:szCs w:val="28"/>
        </w:rPr>
        <w:t>кщо проектом Постанови (реєстр. № 3384) запропоновано заслухати Звіт Тимчасової слідчої комісії про виконану роботу на пленарному засіданні Верховної Ради України до 29 жовтня 2020 року, то в даному випадку логічн</w:t>
      </w:r>
      <w:r w:rsidR="00A17A4C" w:rsidRPr="00A17A4C">
        <w:rPr>
          <w:rFonts w:ascii="Times New Roman" w:hAnsi="Times New Roman" w:cs="Times New Roman"/>
          <w:sz w:val="28"/>
          <w:szCs w:val="28"/>
        </w:rPr>
        <w:t>и</w:t>
      </w:r>
      <w:r w:rsidR="00992B3D" w:rsidRPr="00A17A4C">
        <w:rPr>
          <w:rFonts w:ascii="Times New Roman" w:hAnsi="Times New Roman" w:cs="Times New Roman"/>
          <w:sz w:val="28"/>
          <w:szCs w:val="28"/>
        </w:rPr>
        <w:t xml:space="preserve">м було би затвердження попереднього звіту Тимчасової слідчої комісії, що має бути </w:t>
      </w:r>
      <w:r w:rsidR="00CB1689" w:rsidRPr="00A17A4C">
        <w:rPr>
          <w:rFonts w:ascii="Times New Roman" w:hAnsi="Times New Roman" w:cs="Times New Roman"/>
          <w:sz w:val="28"/>
          <w:szCs w:val="28"/>
        </w:rPr>
        <w:t>відображено у назві проекту Постанови.</w:t>
      </w:r>
    </w:p>
    <w:p w:rsidR="004B200E" w:rsidRPr="00A17A4C" w:rsidRDefault="006B0F61" w:rsidP="006B0F61">
      <w:pPr>
        <w:ind w:firstLine="540"/>
        <w:jc w:val="both"/>
      </w:pPr>
      <w:r w:rsidRPr="00A17A4C">
        <w:t>Керуючись положеннями частини четвертої статті 93 Регламенту Верховної Ради України, Комітет ухвалив експертний висновок</w:t>
      </w:r>
      <w:r w:rsidR="004B200E" w:rsidRPr="00A17A4C">
        <w:t xml:space="preserve"> на проект Постанови Верховної Ради України «Про Звіт Тимчасової слідчої комісії Верховної Ради України з питань розслідування пожежі (вибухів) на складах боєприпасів в м.Ічня (Чернігівська обл.), м.Калинівка (Вінницька обл.), м.Балаклія (Харківська обл.), м.Сватове (Луганська обл.), м.Кривий Ріг (Дніпропетровська обл.) у період з 2014 по 2018 роки (далі - Тимчасова слідча комісія)», внесений народним депутатом України Арахамією Д.Г. (реєстр.</w:t>
      </w:r>
      <w:r w:rsidR="003E1283" w:rsidRPr="00A17A4C">
        <w:t xml:space="preserve"> </w:t>
      </w:r>
      <w:r w:rsidR="004B200E" w:rsidRPr="00A17A4C">
        <w:t>№ 3384 від 23.04.2020)</w:t>
      </w:r>
      <w:r w:rsidR="003E1283" w:rsidRPr="00A17A4C">
        <w:t xml:space="preserve">, і прийняв рішення </w:t>
      </w:r>
      <w:r w:rsidR="004B200E" w:rsidRPr="00A17A4C">
        <w:t xml:space="preserve"> рекомендувати Верховній Раді України розглянути вказаний проект Постанови та  прийняти рішення відповідно до положень частини третьої статті 138 Регламенту Верховної Ради України з урахуванн</w:t>
      </w:r>
      <w:bookmarkStart w:id="13" w:name="_GoBack"/>
      <w:bookmarkEnd w:id="13"/>
      <w:r w:rsidR="004B200E" w:rsidRPr="00A17A4C">
        <w:t xml:space="preserve">ям зауважень Комітету. </w:t>
      </w:r>
    </w:p>
    <w:p w:rsidR="003E1283" w:rsidRPr="00A17A4C" w:rsidRDefault="003E1283" w:rsidP="003E1283">
      <w:pPr>
        <w:ind w:firstLine="567"/>
        <w:jc w:val="both"/>
      </w:pPr>
      <w:r w:rsidRPr="00A17A4C">
        <w:t>Висновок Комітету надіслати Верховній Раді України та Тимчасовій слідчій комісії Верховної Ради України з питань розслідування пожежі (вибухів) на складах боєприпасів у період з 2014 по 2018 роки в м. Ічня (Чернігівська обл.), м. Калинівка (Вінницька обл.), м. Балаклія (Харківська обл.), м. Сватове (Луганська</w:t>
      </w:r>
      <w:r w:rsidR="00A17A4C">
        <w:t xml:space="preserve"> </w:t>
      </w:r>
      <w:r w:rsidRPr="00A17A4C">
        <w:t>обл.),</w:t>
      </w:r>
      <w:r w:rsidR="00A17A4C">
        <w:t xml:space="preserve"> </w:t>
      </w:r>
      <w:r w:rsidRPr="00A17A4C">
        <w:t>м. Кривий Ріг (Дніпропетровська обл.)</w:t>
      </w:r>
      <w:r w:rsidR="006B0F61" w:rsidRPr="00A17A4C">
        <w:t xml:space="preserve">, яка визначена головною з підготовки і попереднього розгляду цього проекту Постанови. </w:t>
      </w:r>
    </w:p>
    <w:p w:rsidR="003E1283" w:rsidRDefault="003E1283" w:rsidP="003E1283">
      <w:pPr>
        <w:ind w:firstLine="567"/>
        <w:jc w:val="both"/>
      </w:pPr>
    </w:p>
    <w:p w:rsidR="001B2C14" w:rsidRPr="00A17A4C" w:rsidRDefault="001B2C14" w:rsidP="003E1283">
      <w:pPr>
        <w:ind w:firstLine="567"/>
        <w:jc w:val="both"/>
      </w:pPr>
    </w:p>
    <w:p w:rsidR="003E1283" w:rsidRPr="00A17A4C" w:rsidRDefault="003E1283" w:rsidP="003E1283">
      <w:pPr>
        <w:ind w:firstLine="567"/>
        <w:jc w:val="both"/>
      </w:pPr>
    </w:p>
    <w:p w:rsidR="003E1283" w:rsidRPr="00A17A4C" w:rsidRDefault="003E1283" w:rsidP="00090211">
      <w:pPr>
        <w:ind w:firstLine="567"/>
        <w:jc w:val="both"/>
      </w:pPr>
      <w:r w:rsidRPr="00A17A4C">
        <w:t xml:space="preserve">Голова Комітету                             </w:t>
      </w:r>
      <w:r w:rsidR="006B0F61" w:rsidRPr="00A17A4C">
        <w:t xml:space="preserve">                                  </w:t>
      </w:r>
      <w:r w:rsidR="006B0F61" w:rsidRPr="00A17A4C">
        <w:rPr>
          <w:b/>
        </w:rPr>
        <w:t xml:space="preserve"> С.В.КАЛЬЧЕНКО</w:t>
      </w:r>
    </w:p>
    <w:sectPr w:rsidR="003E1283" w:rsidRPr="00A17A4C" w:rsidSect="00090211">
      <w:footerReference w:type="even" r:id="rId10"/>
      <w:footerReference w:type="default" r:id="rId11"/>
      <w:pgSz w:w="11906" w:h="16838"/>
      <w:pgMar w:top="993" w:right="850" w:bottom="709"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344" w:rsidRDefault="00337344">
      <w:r>
        <w:separator/>
      </w:r>
    </w:p>
  </w:endnote>
  <w:endnote w:type="continuationSeparator" w:id="0">
    <w:p w:rsidR="00337344" w:rsidRDefault="0033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311" w:rsidRDefault="006A6C56" w:rsidP="002473D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B2C14">
      <w:rPr>
        <w:rStyle w:val="a5"/>
        <w:noProof/>
      </w:rPr>
      <w:t>4</w:t>
    </w:r>
    <w:r>
      <w:rPr>
        <w:rStyle w:val="a5"/>
      </w:rPr>
      <w:fldChar w:fldCharType="end"/>
    </w:r>
  </w:p>
  <w:p w:rsidR="00ED6311" w:rsidRDefault="00337344" w:rsidP="0023180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311" w:rsidRDefault="006A6C56">
    <w:pPr>
      <w:pStyle w:val="a3"/>
      <w:jc w:val="right"/>
    </w:pPr>
    <w:r>
      <w:fldChar w:fldCharType="begin"/>
    </w:r>
    <w:r>
      <w:instrText>PAGE   \* MERGEFORMAT</w:instrText>
    </w:r>
    <w:r>
      <w:fldChar w:fldCharType="separate"/>
    </w:r>
    <w:r w:rsidR="000D7A1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344" w:rsidRDefault="00337344">
      <w:r>
        <w:separator/>
      </w:r>
    </w:p>
  </w:footnote>
  <w:footnote w:type="continuationSeparator" w:id="0">
    <w:p w:rsidR="00337344" w:rsidRDefault="00337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D9"/>
    <w:rsid w:val="00046214"/>
    <w:rsid w:val="00090211"/>
    <w:rsid w:val="000A4547"/>
    <w:rsid w:val="000D7A11"/>
    <w:rsid w:val="00170455"/>
    <w:rsid w:val="001B15CC"/>
    <w:rsid w:val="001B2C14"/>
    <w:rsid w:val="001F7E95"/>
    <w:rsid w:val="00205123"/>
    <w:rsid w:val="00293523"/>
    <w:rsid w:val="0029628C"/>
    <w:rsid w:val="00337344"/>
    <w:rsid w:val="003C4C9D"/>
    <w:rsid w:val="003E1283"/>
    <w:rsid w:val="004153ED"/>
    <w:rsid w:val="004B200E"/>
    <w:rsid w:val="005025A3"/>
    <w:rsid w:val="005204CF"/>
    <w:rsid w:val="00551ADE"/>
    <w:rsid w:val="005B6DD9"/>
    <w:rsid w:val="00602F28"/>
    <w:rsid w:val="00620241"/>
    <w:rsid w:val="006A6C56"/>
    <w:rsid w:val="006B0F61"/>
    <w:rsid w:val="0095491A"/>
    <w:rsid w:val="009921F5"/>
    <w:rsid w:val="00992B3D"/>
    <w:rsid w:val="00A17A4C"/>
    <w:rsid w:val="00A731F7"/>
    <w:rsid w:val="00A81F88"/>
    <w:rsid w:val="00AE1721"/>
    <w:rsid w:val="00CB1689"/>
    <w:rsid w:val="00EB32F1"/>
    <w:rsid w:val="00F10536"/>
    <w:rsid w:val="00F74F84"/>
    <w:rsid w:val="00FA10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3F56"/>
  <w15:chartTrackingRefBased/>
  <w15:docId w15:val="{EDB72064-E0DA-4249-B356-E7E0F2C5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DD9"/>
    <w:pPr>
      <w:spacing w:after="0" w:line="240" w:lineRule="auto"/>
    </w:pPr>
    <w:rPr>
      <w:rFonts w:eastAsia="Times New Roman" w:cs="Times New Roman"/>
      <w:szCs w:val="28"/>
      <w:lang w:eastAsia="uk-UA"/>
    </w:rPr>
  </w:style>
  <w:style w:type="paragraph" w:styleId="3">
    <w:name w:val="heading 3"/>
    <w:basedOn w:val="a"/>
    <w:link w:val="30"/>
    <w:qFormat/>
    <w:rsid w:val="005B6DD9"/>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6DD9"/>
    <w:rPr>
      <w:rFonts w:eastAsia="Times New Roman" w:cs="Times New Roman"/>
      <w:b/>
      <w:bCs/>
      <w:sz w:val="27"/>
      <w:szCs w:val="27"/>
      <w:lang w:val="ru-RU" w:eastAsia="ru-RU"/>
    </w:rPr>
  </w:style>
  <w:style w:type="paragraph" w:styleId="a3">
    <w:name w:val="footer"/>
    <w:basedOn w:val="a"/>
    <w:link w:val="a4"/>
    <w:uiPriority w:val="99"/>
    <w:rsid w:val="005B6DD9"/>
    <w:pPr>
      <w:tabs>
        <w:tab w:val="center" w:pos="4819"/>
        <w:tab w:val="right" w:pos="9639"/>
      </w:tabs>
    </w:pPr>
  </w:style>
  <w:style w:type="character" w:customStyle="1" w:styleId="a4">
    <w:name w:val="Нижній колонтитул Знак"/>
    <w:basedOn w:val="a0"/>
    <w:link w:val="a3"/>
    <w:uiPriority w:val="99"/>
    <w:rsid w:val="005B6DD9"/>
    <w:rPr>
      <w:rFonts w:eastAsia="Times New Roman" w:cs="Times New Roman"/>
      <w:szCs w:val="28"/>
      <w:lang w:eastAsia="uk-UA"/>
    </w:rPr>
  </w:style>
  <w:style w:type="character" w:styleId="a5">
    <w:name w:val="page number"/>
    <w:uiPriority w:val="99"/>
    <w:rsid w:val="005B6DD9"/>
    <w:rPr>
      <w:rFonts w:cs="Times New Roman"/>
    </w:rPr>
  </w:style>
  <w:style w:type="character" w:customStyle="1" w:styleId="rvts0">
    <w:name w:val="rvts0"/>
    <w:rsid w:val="005B6DD9"/>
    <w:rPr>
      <w:rFonts w:cs="Times New Roman"/>
    </w:rPr>
  </w:style>
  <w:style w:type="character" w:styleId="a6">
    <w:name w:val="Hyperlink"/>
    <w:basedOn w:val="a0"/>
    <w:rsid w:val="005B6DD9"/>
    <w:rPr>
      <w:color w:val="0000FF"/>
      <w:u w:val="single"/>
    </w:rPr>
  </w:style>
  <w:style w:type="character" w:customStyle="1" w:styleId="rvts9">
    <w:name w:val="rvts9"/>
    <w:basedOn w:val="a0"/>
    <w:rsid w:val="005B6DD9"/>
  </w:style>
  <w:style w:type="paragraph" w:customStyle="1" w:styleId="rvps2">
    <w:name w:val="rvps2"/>
    <w:basedOn w:val="a"/>
    <w:rsid w:val="005B6DD9"/>
    <w:pPr>
      <w:spacing w:before="100" w:beforeAutospacing="1" w:after="100" w:afterAutospacing="1"/>
    </w:pPr>
    <w:rPr>
      <w:sz w:val="24"/>
      <w:szCs w:val="24"/>
      <w:lang w:val="ru-RU" w:eastAsia="ru-RU"/>
    </w:rPr>
  </w:style>
  <w:style w:type="character" w:customStyle="1" w:styleId="rvts23">
    <w:name w:val="rvts23"/>
    <w:basedOn w:val="a0"/>
    <w:rsid w:val="003C4C9D"/>
  </w:style>
  <w:style w:type="character" w:customStyle="1" w:styleId="rvts46">
    <w:name w:val="rvts46"/>
    <w:basedOn w:val="a0"/>
    <w:rsid w:val="00A731F7"/>
  </w:style>
  <w:style w:type="paragraph" w:styleId="HTML">
    <w:name w:val="HTML Preformatted"/>
    <w:basedOn w:val="a"/>
    <w:link w:val="HTML0"/>
    <w:semiHidden/>
    <w:unhideWhenUsed/>
    <w:rsid w:val="00170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semiHidden/>
    <w:rsid w:val="00170455"/>
    <w:rPr>
      <w:rFonts w:ascii="Courier New" w:eastAsia="Times New Roman" w:hAnsi="Courier New" w:cs="Courier New"/>
      <w:sz w:val="20"/>
      <w:szCs w:val="20"/>
      <w:lang w:eastAsia="uk-UA"/>
    </w:rPr>
  </w:style>
  <w:style w:type="character" w:customStyle="1" w:styleId="rvts44">
    <w:name w:val="rvts44"/>
    <w:basedOn w:val="a0"/>
    <w:rsid w:val="00AE1721"/>
  </w:style>
  <w:style w:type="paragraph" w:styleId="a7">
    <w:name w:val="Balloon Text"/>
    <w:basedOn w:val="a"/>
    <w:link w:val="a8"/>
    <w:uiPriority w:val="99"/>
    <w:semiHidden/>
    <w:unhideWhenUsed/>
    <w:rsid w:val="006A6C56"/>
    <w:rPr>
      <w:rFonts w:ascii="Segoe UI" w:hAnsi="Segoe UI" w:cs="Segoe UI"/>
      <w:sz w:val="18"/>
      <w:szCs w:val="18"/>
    </w:rPr>
  </w:style>
  <w:style w:type="character" w:customStyle="1" w:styleId="a8">
    <w:name w:val="Текст у виносці Знак"/>
    <w:basedOn w:val="a0"/>
    <w:link w:val="a7"/>
    <w:uiPriority w:val="99"/>
    <w:semiHidden/>
    <w:rsid w:val="006A6C56"/>
    <w:rPr>
      <w:rFonts w:ascii="Segoe UI" w:eastAsia="Times New Roman" w:hAnsi="Segoe UI" w:cs="Segoe UI"/>
      <w:sz w:val="18"/>
      <w:szCs w:val="18"/>
      <w:lang w:eastAsia="uk-UA"/>
    </w:rPr>
  </w:style>
  <w:style w:type="paragraph" w:styleId="a9">
    <w:name w:val="header"/>
    <w:basedOn w:val="a"/>
    <w:link w:val="aa"/>
    <w:uiPriority w:val="99"/>
    <w:unhideWhenUsed/>
    <w:rsid w:val="00090211"/>
    <w:pPr>
      <w:tabs>
        <w:tab w:val="center" w:pos="4819"/>
        <w:tab w:val="right" w:pos="9639"/>
      </w:tabs>
    </w:pPr>
  </w:style>
  <w:style w:type="character" w:customStyle="1" w:styleId="aa">
    <w:name w:val="Верхній колонтитул Знак"/>
    <w:basedOn w:val="a0"/>
    <w:link w:val="a9"/>
    <w:uiPriority w:val="99"/>
    <w:rsid w:val="00090211"/>
    <w:rPr>
      <w:rFonts w:eastAsia="Times New Roman" w:cs="Times New Roman"/>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4732">
      <w:bodyDiv w:val="1"/>
      <w:marLeft w:val="0"/>
      <w:marRight w:val="0"/>
      <w:marTop w:val="0"/>
      <w:marBottom w:val="0"/>
      <w:divBdr>
        <w:top w:val="none" w:sz="0" w:space="0" w:color="auto"/>
        <w:left w:val="none" w:sz="0" w:space="0" w:color="auto"/>
        <w:bottom w:val="none" w:sz="0" w:space="0" w:color="auto"/>
        <w:right w:val="none" w:sz="0" w:space="0" w:color="auto"/>
      </w:divBdr>
    </w:div>
    <w:div w:id="63990986">
      <w:bodyDiv w:val="1"/>
      <w:marLeft w:val="0"/>
      <w:marRight w:val="0"/>
      <w:marTop w:val="0"/>
      <w:marBottom w:val="0"/>
      <w:divBdr>
        <w:top w:val="none" w:sz="0" w:space="0" w:color="auto"/>
        <w:left w:val="none" w:sz="0" w:space="0" w:color="auto"/>
        <w:bottom w:val="none" w:sz="0" w:space="0" w:color="auto"/>
        <w:right w:val="none" w:sz="0" w:space="0" w:color="auto"/>
      </w:divBdr>
    </w:div>
    <w:div w:id="201092368">
      <w:bodyDiv w:val="1"/>
      <w:marLeft w:val="0"/>
      <w:marRight w:val="0"/>
      <w:marTop w:val="0"/>
      <w:marBottom w:val="0"/>
      <w:divBdr>
        <w:top w:val="none" w:sz="0" w:space="0" w:color="auto"/>
        <w:left w:val="none" w:sz="0" w:space="0" w:color="auto"/>
        <w:bottom w:val="none" w:sz="0" w:space="0" w:color="auto"/>
        <w:right w:val="none" w:sz="0" w:space="0" w:color="auto"/>
      </w:divBdr>
    </w:div>
    <w:div w:id="1707755809">
      <w:bodyDiv w:val="1"/>
      <w:marLeft w:val="0"/>
      <w:marRight w:val="0"/>
      <w:marTop w:val="0"/>
      <w:marBottom w:val="0"/>
      <w:divBdr>
        <w:top w:val="none" w:sz="0" w:space="0" w:color="auto"/>
        <w:left w:val="none" w:sz="0" w:space="0" w:color="auto"/>
        <w:bottom w:val="none" w:sz="0" w:space="0" w:color="auto"/>
        <w:right w:val="none" w:sz="0" w:space="0" w:color="auto"/>
      </w:divBdr>
    </w:div>
    <w:div w:id="209119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1861-1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rada/show/254%D0%BA/96-%D0%B2%D1%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605-viii"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zakon.rada.gov.ua/rada/show/4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7473</Words>
  <Characters>4261</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Миколаївна Олексійчук</dc:creator>
  <cp:keywords/>
  <dc:description/>
  <cp:lastModifiedBy>Попович Тамара Вікторівна</cp:lastModifiedBy>
  <cp:revision>3</cp:revision>
  <cp:lastPrinted>2020-04-29T08:25:00Z</cp:lastPrinted>
  <dcterms:created xsi:type="dcterms:W3CDTF">2020-04-29T08:22:00Z</dcterms:created>
  <dcterms:modified xsi:type="dcterms:W3CDTF">2020-04-29T08:32:00Z</dcterms:modified>
</cp:coreProperties>
</file>